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Administrative Services Assistant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DHS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pPr>
            <w:r>
              <w:rPr>
                <w:rFonts w:ascii="Arial" w:hAnsi="Arial" w:eastAsia="SimSun" w:cs="Arial"/>
                <w:color w:val="000000"/>
                <w:kern w:val="0"/>
                <w:sz w:val="18"/>
                <w:szCs w:val="18"/>
                <w:lang w:val="en-US" w:eastAsia="zh-CN" w:bidi="ar"/>
              </w:rPr>
              <w:t>240 Cherokee Circle Benton, Tennessee 37307</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$15/hr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04/29/2024 - 06/30/2024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09</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No Sunday No</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w:t>
            </w:r>
            <w:r>
              <w:rPr>
                <w:rFonts w:hint="default" w:ascii="Arial" w:hAnsi="Arial" w:eastAsia="SimSun" w:cs="Arial"/>
                <w:color w:val="000000"/>
                <w:kern w:val="0"/>
                <w:sz w:val="21"/>
                <w:szCs w:val="21"/>
                <w:lang w:val="en-US" w:eastAsia="zh-CN" w:bidi="ar"/>
              </w:rPr>
              <w:t>3</w:t>
            </w:r>
            <w:r>
              <w:rPr>
                <w:rFonts w:hint="default" w:ascii="Arial" w:hAnsi="Arial" w:eastAsia="SimSun" w:cs="Arial"/>
                <w:color w:val="000000"/>
                <w:kern w:val="0"/>
                <w:sz w:val="21"/>
                <w:szCs w:val="21"/>
                <w:lang w:val="en-IN" w:eastAsia="zh-CN" w:bidi="ar"/>
              </w:rPr>
              <w:t xml:space="preserve">0PM         Regular Shift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73162 Job Code 73162 Summary: under general supervision, is responsible for professional staff work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routine through average difficulty in relieving an executive of Administrative detail; and performs related work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required. An employee in this class routinely performs general assignments to relieve an executive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Administrative detail and other duties which do not require his/her personal attention. Routinely acts as liaison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between executive's office and the governor's office, departmental staff, and other state departments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agencies, local and federal agencies, and community organizations and groups; attends legislative functions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meetings as required to gain information; routinely handles complaints and requests from members of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legislature and other departments, citizens, and employees, as required; attends receptions, luncheons,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dinners, and other gatherings in performing personal contact duties. Assigns, trains, supervises, and evaluates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assigned clerical and other staff and their work; makes recommendations on personnel actions such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employment, promotion, demotion, transfer, retention, and increases for exceptional performance. Handles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routine correspondence including composition of replies and routes to the appropriate operating division for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reply; prepares non-routine correspondence as requested; assembles information for speeches, staff meetings,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other purposes; may take minutes at staff meetings. Makes travel arrangements; keeps expense accounts;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orders office supplies as needed. Operates standard office machines and equipment as necessary. Education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and Experience: Graduation from an accredited college or university with a bachelor's degree; qualifying full</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time increasingly responsible sub-professional experience or paraprofessional or professional experience may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be substituted for the required education, on a year-for-year basis, to a maximum of four years.</w:t>
            </w:r>
          </w:p>
          <w:p>
            <w:pPr>
              <w:keepNext w:val="0"/>
              <w:keepLines w:val="0"/>
              <w:widowControl/>
              <w:suppressLineNumbers w:val="0"/>
              <w:jc w:val="left"/>
            </w:pPr>
          </w:p>
          <w:p>
            <w:pPr>
              <w:bidi w:val="0"/>
              <w:rPr>
                <w:b/>
                <w:bCs/>
              </w:rPr>
            </w:pPr>
            <w:r>
              <w:rPr>
                <w:b/>
                <w:bCs/>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026"/>
              <w:gridCol w:w="2463"/>
              <w:gridCol w:w="1334"/>
              <w:gridCol w:w="18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2" w:type="dxa"/>
                </w:tcPr>
                <w:p>
                  <w:pPr>
                    <w:bidi w:val="0"/>
                    <w:rPr>
                      <w:rFonts w:hint="default"/>
                      <w:b/>
                      <w:bCs/>
                      <w:lang w:val="en-IN"/>
                    </w:rPr>
                  </w:pPr>
                  <w:r>
                    <w:rPr>
                      <w:b/>
                      <w:bCs/>
                      <w:lang w:val="en-US" w:eastAsia="zh-CN"/>
                    </w:rPr>
                    <w:t>Type</w:t>
                  </w:r>
                </w:p>
              </w:tc>
              <w:tc>
                <w:tcPr>
                  <w:tcW w:w="1026" w:type="dxa"/>
                </w:tcPr>
                <w:p>
                  <w:pPr>
                    <w:bidi w:val="0"/>
                    <w:rPr>
                      <w:rFonts w:hint="default"/>
                      <w:b/>
                      <w:bCs/>
                      <w:lang w:val="en-IN"/>
                    </w:rPr>
                  </w:pPr>
                  <w:r>
                    <w:rPr>
                      <w:b/>
                      <w:bCs/>
                      <w:lang w:val="en-US" w:eastAsia="zh-CN"/>
                    </w:rPr>
                    <w:t>Category</w:t>
                  </w:r>
                </w:p>
              </w:tc>
              <w:tc>
                <w:tcPr>
                  <w:tcW w:w="2463" w:type="dxa"/>
                </w:tcPr>
                <w:p>
                  <w:pPr>
                    <w:bidi w:val="0"/>
                    <w:rPr>
                      <w:rFonts w:hint="default"/>
                      <w:b/>
                      <w:bCs/>
                      <w:lang w:val="en-IN"/>
                    </w:rPr>
                  </w:pPr>
                  <w:r>
                    <w:rPr>
                      <w:b/>
                      <w:bCs/>
                      <w:lang w:val="en-US" w:eastAsia="zh-CN"/>
                    </w:rPr>
                    <w:t>Qualification</w:t>
                  </w:r>
                </w:p>
              </w:tc>
              <w:tc>
                <w:tcPr>
                  <w:tcW w:w="1334" w:type="dxa"/>
                </w:tcPr>
                <w:p>
                  <w:pPr>
                    <w:bidi w:val="0"/>
                    <w:rPr>
                      <w:rFonts w:hint="default"/>
                      <w:b/>
                      <w:bCs/>
                      <w:lang w:val="en-IN"/>
                    </w:rPr>
                  </w:pPr>
                  <w:r>
                    <w:rPr>
                      <w:b/>
                      <w:bCs/>
                      <w:lang w:val="en-US" w:eastAsia="zh-CN"/>
                    </w:rPr>
                    <w:t>Description</w:t>
                  </w:r>
                </w:p>
              </w:tc>
              <w:tc>
                <w:tcPr>
                  <w:tcW w:w="1800" w:type="dxa"/>
                </w:tcPr>
                <w:p>
                  <w:pPr>
                    <w:bidi w:val="0"/>
                    <w:rPr>
                      <w:rFonts w:hint="default"/>
                      <w:b/>
                      <w:bCs/>
                      <w:lang w:val="en-IN"/>
                    </w:rPr>
                  </w:pPr>
                  <w:r>
                    <w:rPr>
                      <w:b/>
                      <w:bCs/>
                      <w:lang w:val="en-US" w:eastAsia="zh-CN"/>
                    </w:rPr>
                    <w:t>Competency</w:t>
                  </w:r>
                </w:p>
              </w:tc>
              <w:tc>
                <w:tcPr>
                  <w:tcW w:w="1050"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Correspondence - Email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Correspondence - General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Customer Service</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Customer Service Skills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Data Entry</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Emailing</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Filing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Internet</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Microsoft Excel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Microsoft Word</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Printing and Copying</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Typing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Verbal Communication</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18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Novice (1-3 Years) </w:t>
                  </w:r>
                </w:p>
              </w:tc>
              <w:tc>
                <w:tcPr>
                  <w:tcW w:w="105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04/09/2024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04/09/2024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04/09/2024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8196C"/>
    <w:rsid w:val="0F0F4DEC"/>
    <w:rsid w:val="0F4D25FC"/>
    <w:rsid w:val="0F911107"/>
    <w:rsid w:val="0F946998"/>
    <w:rsid w:val="0F95595C"/>
    <w:rsid w:val="107034C4"/>
    <w:rsid w:val="10EA3794"/>
    <w:rsid w:val="110C400C"/>
    <w:rsid w:val="11534BC6"/>
    <w:rsid w:val="116B4922"/>
    <w:rsid w:val="11BB5B18"/>
    <w:rsid w:val="12025568"/>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45117"/>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4F650C1"/>
    <w:rsid w:val="450C0E55"/>
    <w:rsid w:val="451F4767"/>
    <w:rsid w:val="452B1059"/>
    <w:rsid w:val="454B63A3"/>
    <w:rsid w:val="457252D4"/>
    <w:rsid w:val="45DD7BDD"/>
    <w:rsid w:val="45F02A95"/>
    <w:rsid w:val="46094B37"/>
    <w:rsid w:val="46863440"/>
    <w:rsid w:val="46897918"/>
    <w:rsid w:val="46BE657F"/>
    <w:rsid w:val="46BF7FDC"/>
    <w:rsid w:val="476476E9"/>
    <w:rsid w:val="478157DE"/>
    <w:rsid w:val="47B90159"/>
    <w:rsid w:val="482D788C"/>
    <w:rsid w:val="48300D23"/>
    <w:rsid w:val="486B02E8"/>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A617BD7"/>
    <w:rsid w:val="5A875C02"/>
    <w:rsid w:val="5A906992"/>
    <w:rsid w:val="5B6B462C"/>
    <w:rsid w:val="5B7F3374"/>
    <w:rsid w:val="5BAA3D76"/>
    <w:rsid w:val="5BD61151"/>
    <w:rsid w:val="5C1C1F16"/>
    <w:rsid w:val="5C9D4384"/>
    <w:rsid w:val="5E432943"/>
    <w:rsid w:val="5E9A0437"/>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719C9"/>
    <w:rsid w:val="7C0A1B44"/>
    <w:rsid w:val="7DD139F1"/>
    <w:rsid w:val="7DFA1203"/>
    <w:rsid w:val="7E2C28FC"/>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6</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2024-04-09T18:57:47Z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18D6C2CF69124AD39B820444CC93F56A_13</vt:lpwstr>
  </property>
</Properties>
</file>